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8B48" w14:textId="2317D46D" w:rsidR="005B51DB" w:rsidRDefault="00E51A03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PHIL6320 </w:t>
      </w:r>
      <w:r w:rsidR="0093769C">
        <w:rPr>
          <w:rFonts w:ascii="Times New Roman" w:hAnsi="Times New Roman"/>
          <w:sz w:val="28"/>
          <w:szCs w:val="28"/>
        </w:rPr>
        <w:t>Winter</w:t>
      </w:r>
      <w:r>
        <w:rPr>
          <w:rFonts w:ascii="Times New Roman" w:hAnsi="Times New Roman"/>
          <w:sz w:val="28"/>
          <w:szCs w:val="28"/>
        </w:rPr>
        <w:t xml:space="preserve"> 2</w:t>
      </w:r>
      <w:r w:rsidR="00B82F51">
        <w:rPr>
          <w:rFonts w:ascii="Times New Roman" w:hAnsi="Times New Roman"/>
          <w:sz w:val="28"/>
          <w:szCs w:val="28"/>
        </w:rPr>
        <w:t>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   </w:t>
      </w:r>
      <w:r>
        <w:rPr>
          <w:rFonts w:ascii="Times New Roman" w:hAnsi="Times New Roman"/>
          <w:sz w:val="28"/>
          <w:szCs w:val="28"/>
          <w:lang w:val="en-US"/>
        </w:rPr>
        <w:t>Theory of Knowledge</w:t>
      </w:r>
    </w:p>
    <w:p w14:paraId="57790B77" w14:textId="77777777" w:rsidR="005B51DB" w:rsidRDefault="00E51A03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u w:color="0330F5"/>
        </w:rPr>
      </w:pPr>
      <w:hyperlink r:id="rId6" w:history="1">
        <w:r>
          <w:rPr>
            <w:rFonts w:ascii="Times New Roman" w:hAnsi="Times New Roman"/>
            <w:color w:val="0330F5"/>
            <w:sz w:val="28"/>
            <w:szCs w:val="28"/>
            <w:u w:val="single" w:color="0330F5"/>
            <w:lang w:val="en-US"/>
          </w:rPr>
          <w:t>Department of Philosophy</w:t>
        </w:r>
      </w:hyperlink>
    </w:p>
    <w:p w14:paraId="59B9CAEA" w14:textId="77777777" w:rsidR="005B51DB" w:rsidRDefault="00E51A03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u w:color="6D197D"/>
        </w:rPr>
      </w:pPr>
      <w:hyperlink r:id="rId7" w:history="1">
        <w:r>
          <w:rPr>
            <w:rFonts w:ascii="Times New Roman" w:hAnsi="Times New Roman"/>
            <w:color w:val="6D197D"/>
            <w:sz w:val="28"/>
            <w:szCs w:val="28"/>
            <w:u w:val="single" w:color="6D197D"/>
          </w:rPr>
          <w:t>Western Michigan University</w:t>
        </w:r>
      </w:hyperlink>
    </w:p>
    <w:p w14:paraId="47AA686C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F74C2E9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D665004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>Instructor</w:t>
      </w: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</w:t>
      </w:r>
    </w:p>
    <w:p w14:paraId="09188E89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Dr. </w:t>
      </w:r>
      <w:r>
        <w:rPr>
          <w:rFonts w:ascii="Times New Roman" w:hAnsi="Times New Roman"/>
          <w:sz w:val="28"/>
          <w:szCs w:val="28"/>
          <w:lang w:val="en-US"/>
        </w:rPr>
        <w:t>Marc Alspector-Kelly</w:t>
      </w:r>
    </w:p>
    <w:p w14:paraId="0E20D299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Email</w:t>
      </w:r>
      <w:proofErr w:type="spellEnd"/>
      <w:r>
        <w:rPr>
          <w:rFonts w:ascii="Times New Roman" w:hAnsi="Times New Roman"/>
          <w:sz w:val="28"/>
          <w:szCs w:val="28"/>
        </w:rPr>
        <w:t>: malspect@wmich.edu</w:t>
      </w:r>
    </w:p>
    <w:p w14:paraId="1C3BED3C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Office: 3017 Moore Hall</w:t>
      </w:r>
    </w:p>
    <w:p w14:paraId="4208CC5F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Cell Phone #: 312-9690</w:t>
      </w:r>
    </w:p>
    <w:p w14:paraId="66952D7A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Office Phone #: 387-4823</w:t>
      </w:r>
    </w:p>
    <w:p w14:paraId="03FEA0C7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Philosophy Dept. Office: 3017 Moore Hall</w:t>
      </w:r>
    </w:p>
    <w:p w14:paraId="5A6AA4A5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Philosophy Dept. Phone #:387-4390</w:t>
      </w:r>
    </w:p>
    <w:p w14:paraId="483B2A2E" w14:textId="0E41119A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Office Hours: Wed. </w:t>
      </w:r>
      <w:r w:rsidR="0093769C">
        <w:rPr>
          <w:rFonts w:ascii="Times New Roman" w:hAnsi="Times New Roman"/>
          <w:sz w:val="28"/>
          <w:szCs w:val="28"/>
          <w:lang w:val="en-US"/>
        </w:rPr>
        <w:t>3:00-4:00</w:t>
      </w:r>
      <w:r>
        <w:rPr>
          <w:rFonts w:ascii="Times New Roman" w:hAnsi="Times New Roman"/>
          <w:sz w:val="28"/>
          <w:szCs w:val="28"/>
          <w:lang w:val="en-US"/>
        </w:rPr>
        <w:t xml:space="preserve"> and by appointment</w:t>
      </w:r>
    </w:p>
    <w:p w14:paraId="20CDF131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17AAAD69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Lecture</w:t>
      </w:r>
      <w:r>
        <w:rPr>
          <w:rFonts w:ascii="Times New Roman" w:hAnsi="Times New Roman"/>
          <w:b/>
          <w:bCs/>
          <w:sz w:val="28"/>
          <w:szCs w:val="28"/>
        </w:rPr>
        <w:t>     </w:t>
      </w: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  </w:t>
      </w:r>
    </w:p>
    <w:p w14:paraId="09CB4900" w14:textId="678B454F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Time: </w:t>
      </w:r>
      <w:r>
        <w:rPr>
          <w:rFonts w:ascii="Times New Roman" w:hAnsi="Times New Roman"/>
          <w:sz w:val="28"/>
          <w:szCs w:val="28"/>
          <w:lang w:val="en-US"/>
        </w:rPr>
        <w:t>Wednesday</w:t>
      </w:r>
      <w:r>
        <w:rPr>
          <w:rFonts w:ascii="Times New Roman" w:hAnsi="Times New Roman"/>
          <w:sz w:val="28"/>
          <w:szCs w:val="28"/>
        </w:rPr>
        <w:t xml:space="preserve"> </w:t>
      </w:r>
      <w:r w:rsidR="009376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:00-</w:t>
      </w:r>
      <w:r w:rsidR="009376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:30</w:t>
      </w:r>
    </w:p>
    <w:p w14:paraId="56BC2CC9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Room: Philosophy Seminar Room</w:t>
      </w:r>
    </w:p>
    <w:p w14:paraId="0C0F062C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376C6FB8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fr-FR"/>
        </w:rPr>
        <w:t>Catalog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Description</w:t>
      </w:r>
    </w:p>
    <w:p w14:paraId="5606C65A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An examination of the nature of truth, belief, and evidence. Topics may vary from term to term. Examples include: que</w:t>
      </w:r>
      <w:r>
        <w:rPr>
          <w:rFonts w:ascii="Times New Roman" w:hAnsi="Times New Roman"/>
          <w:sz w:val="28"/>
          <w:szCs w:val="28"/>
          <w:lang w:val="en-US"/>
        </w:rPr>
        <w:t>stions about the nature of perception, a priori and a posteriori knowledge, skepticism, epistemic foundations, epistemic justification, and other related topics</w:t>
      </w:r>
    </w:p>
    <w:p w14:paraId="5CF442BC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1B1108C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Course Description</w:t>
      </w:r>
    </w:p>
    <w:p w14:paraId="20D49411" w14:textId="23479D5F" w:rsidR="005B51DB" w:rsidRDefault="00E51A03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This course has two parts. First, we will conduct a relatively quick </w:t>
      </w:r>
      <w:r>
        <w:rPr>
          <w:rFonts w:ascii="Times New Roman" w:hAnsi="Times New Roman"/>
          <w:sz w:val="28"/>
          <w:szCs w:val="28"/>
          <w:lang w:val="en-US"/>
        </w:rPr>
        <w:t>review of introductory epistemology, using primarily Richard Feldman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it-IT"/>
        </w:rPr>
        <w:t>Epistemology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Second, we will pursue a more in-depth examination of recent themes and developments in contemporary epistemology. The focus for this class will be knowledge closure</w:t>
      </w:r>
      <w:r w:rsidR="0093769C">
        <w:rPr>
          <w:rFonts w:ascii="Times New Roman" w:hAnsi="Times New Roman"/>
          <w:sz w:val="28"/>
          <w:szCs w:val="28"/>
          <w:lang w:val="en-US"/>
        </w:rPr>
        <w:t xml:space="preserve">, using my book </w:t>
      </w:r>
      <w:r w:rsidR="0093769C">
        <w:rPr>
          <w:rFonts w:ascii="Times New Roman" w:hAnsi="Times New Roman"/>
          <w:i/>
          <w:iCs/>
          <w:sz w:val="28"/>
          <w:szCs w:val="28"/>
          <w:lang w:val="en-US"/>
        </w:rPr>
        <w:t>Against Knowledge Closure</w:t>
      </w:r>
      <w:r w:rsidR="0093769C">
        <w:rPr>
          <w:rFonts w:ascii="Times New Roman" w:hAnsi="Times New Roman"/>
          <w:sz w:val="28"/>
          <w:szCs w:val="28"/>
          <w:lang w:val="en-US"/>
        </w:rPr>
        <w:t xml:space="preserve"> and associated readings (that will be made available when we get there)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1641156A" w14:textId="77777777" w:rsidR="005B51DB" w:rsidRDefault="005B51D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9DF30B0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Co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urse Requirements</w:t>
      </w:r>
    </w:p>
    <w:p w14:paraId="625BBE15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After we complete the introductory material there will be a mid-term covering it (the date of which is therefore TBA, depending on when we complete that material). You will also be writing a term paper, approx. 15 pages/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3750 word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minimum,</w:t>
      </w:r>
      <w:r>
        <w:rPr>
          <w:rFonts w:ascii="Times New Roman" w:hAnsi="Times New Roman"/>
          <w:sz w:val="28"/>
          <w:szCs w:val="28"/>
          <w:lang w:val="en-US"/>
        </w:rPr>
        <w:t xml:space="preserve"> due last day of class. Finally, you will also be making short presentations on the readings covering the contemporary issues component. The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paper will be worth 60% of the grade, the test 30%, and the presentations 10%. Attendance is required.</w:t>
      </w:r>
    </w:p>
    <w:p w14:paraId="749805EA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0727DD7E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Grade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Scale</w:t>
      </w:r>
    </w:p>
    <w:p w14:paraId="1F68EB70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The grade scale for this class is the standard GPA-grade equivalency scale (A=4.0, BA=3.5, etc.)</w:t>
      </w:r>
    </w:p>
    <w:p w14:paraId="171CF82A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4D6919E1" w14:textId="77777777" w:rsidR="005B51DB" w:rsidRDefault="00E51A03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Regarding Academic Honesty</w:t>
      </w:r>
    </w:p>
    <w:p w14:paraId="5412B689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You are responsible for making yourself aware of and understanding the policies and procedures in the Undergraduate and Grad</w:t>
      </w:r>
      <w:r>
        <w:rPr>
          <w:rFonts w:ascii="Times New Roman" w:hAnsi="Times New Roman"/>
          <w:sz w:val="28"/>
          <w:szCs w:val="28"/>
          <w:lang w:val="en-US"/>
        </w:rPr>
        <w:t xml:space="preserve">uate Catalogs that pertain to Academic Honesty. These policies include cheating, fabrication, falsification and forgery, multiple submission, plagiarism, complicity and computer misuse. [The policies can be found at </w:t>
      </w:r>
      <w:hyperlink r:id="rId8" w:history="1">
        <w:r>
          <w:rPr>
            <w:rFonts w:ascii="Times New Roman" w:hAnsi="Times New Roman"/>
            <w:sz w:val="28"/>
            <w:szCs w:val="28"/>
            <w:lang w:val="en-US"/>
          </w:rPr>
          <w:t>ht</w:t>
        </w:r>
        <w:r>
          <w:rPr>
            <w:rFonts w:ascii="Times New Roman" w:hAnsi="Times New Roman"/>
            <w:sz w:val="28"/>
            <w:szCs w:val="28"/>
            <w:lang w:val="en-US"/>
          </w:rPr>
          <w:t>tp://catalog.wmich.edu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under Academic Policies, Student Rights and Responsibilities.] If there is reason to believe you have been involved in academic dishonesty, you will be referred to the Office of Student Conduct. You will be given the opportunity t</w:t>
      </w:r>
      <w:r>
        <w:rPr>
          <w:rFonts w:ascii="Times New Roman" w:hAnsi="Times New Roman"/>
          <w:sz w:val="28"/>
          <w:szCs w:val="28"/>
          <w:lang w:val="en-US"/>
        </w:rPr>
        <w:t>o review the charge(s). If you believe you are not responsible, you will have the opportunity for a hearing. You should consult with your instructor if you are uncertain about an issue of academic honesty prior to the submission of an assignment or test.</w:t>
      </w:r>
    </w:p>
    <w:p w14:paraId="6CF191E3" w14:textId="77777777" w:rsidR="005B51DB" w:rsidRDefault="005B51D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A76B5CB" w14:textId="77777777" w:rsidR="005B51DB" w:rsidRDefault="00E51A03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Accommodation for Disabilities</w:t>
      </w:r>
    </w:p>
    <w:p w14:paraId="0728D7D5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Any student with a documented disability (e.g., physical, learning, psychiatric, vision, hearing, etc.) who needs to arrange reasonable accommodations must contact the Disabilities Services for Students center at the beginnin</w:t>
      </w:r>
      <w:r>
        <w:rPr>
          <w:rFonts w:ascii="Times New Roman" w:hAnsi="Times New Roman"/>
          <w:sz w:val="28"/>
          <w:szCs w:val="28"/>
          <w:lang w:val="en-US"/>
        </w:rPr>
        <w:t xml:space="preserve">g of the semester; contact information is here: </w:t>
      </w:r>
      <w:hyperlink r:id="rId9" w:history="1">
        <w:r>
          <w:rPr>
            <w:rFonts w:ascii="Times New Roman" w:hAnsi="Times New Roman"/>
            <w:sz w:val="28"/>
            <w:szCs w:val="28"/>
          </w:rPr>
          <w:t>http://www.wmich.edu/disabilitycenter</w:t>
        </w:r>
      </w:hyperlink>
      <w:r>
        <w:rPr>
          <w:rFonts w:ascii="Times New Roman" w:hAnsi="Times New Roman"/>
          <w:sz w:val="28"/>
          <w:szCs w:val="28"/>
          <w:lang w:val="en-US"/>
        </w:rPr>
        <w:t>. A disability determination must be made by this office before accommodations are provided by the instructor.</w:t>
      </w:r>
    </w:p>
    <w:p w14:paraId="44ECCADD" w14:textId="77777777" w:rsidR="005B51DB" w:rsidRDefault="00E51A0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sectPr w:rsidR="005B51DB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61A6" w14:textId="77777777" w:rsidR="00E51A03" w:rsidRDefault="00E51A03">
      <w:r>
        <w:separator/>
      </w:r>
    </w:p>
  </w:endnote>
  <w:endnote w:type="continuationSeparator" w:id="0">
    <w:p w14:paraId="72AD2AE0" w14:textId="77777777" w:rsidR="00E51A03" w:rsidRDefault="00E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B6BA" w14:textId="77777777" w:rsidR="005B51DB" w:rsidRDefault="005B5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D241" w14:textId="77777777" w:rsidR="00E51A03" w:rsidRDefault="00E51A03">
      <w:r>
        <w:separator/>
      </w:r>
    </w:p>
  </w:footnote>
  <w:footnote w:type="continuationSeparator" w:id="0">
    <w:p w14:paraId="6FD95A74" w14:textId="77777777" w:rsidR="00E51A03" w:rsidRDefault="00E5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D65E" w14:textId="77777777" w:rsidR="005B51DB" w:rsidRDefault="005B51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DB"/>
    <w:rsid w:val="005B51DB"/>
    <w:rsid w:val="0093769C"/>
    <w:rsid w:val="00B82F51"/>
    <w:rsid w:val="00E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87555"/>
  <w15:docId w15:val="{4BEFF39D-2C00-9045-8889-011D843D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wmich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mich.ed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mich.edu/philosoph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mich.edu/disabilitycente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2019-10-08T00:12:00Z</dcterms:created>
  <dcterms:modified xsi:type="dcterms:W3CDTF">2019-10-08T00:12:00Z</dcterms:modified>
</cp:coreProperties>
</file>